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600"/>
        <w:gridCol w:w="1600"/>
        <w:gridCol w:w="1600"/>
        <w:gridCol w:w="1600"/>
        <w:gridCol w:w="2000"/>
        <w:gridCol w:w="400"/>
        <w:gridCol w:w="400"/>
        <w:gridCol w:w="400"/>
        <w:gridCol w:w="2000"/>
        <w:gridCol w:w="1400"/>
        <w:gridCol w:w="1400"/>
        <w:gridCol w:w="400"/>
        <w:gridCol w:w="12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24"/>
              </w:rPr>
              <w:t xml:space="preserve"> Plan integriteta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 Osnovno državno tužilaštvo Plav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A6A0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REGISTAR RIZIKA</w:t>
            </w:r>
          </w:p>
        </w:tc>
        <w:tc>
          <w:tcPr>
            <w:gridSpan w:val="5"/>
            <w:shd w:val="clear" w:color="auto" w:fill="98BDF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PROCJENE I MJERENJE RIZIKA</w:t>
            </w:r>
          </w:p>
        </w:tc>
        <w:tc>
          <w:tcPr>
            <w:gridSpan w:val="3"/>
            <w:shd w:val="clear" w:color="auto" w:fill="FFFF9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REAGOVANJE NA RIZIK</w:t>
            </w:r>
          </w:p>
        </w:tc>
        <w:tc>
          <w:tcPr>
            <w:gridSpan w:val="2"/>
            <w:shd w:val="clear" w:color="auto" w:fill="F287E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PREGLED I IZVJEŠTAVANJE O RIZICIMA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6A0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Oblasti rizika</w:t>
            </w:r>
          </w:p>
        </w:tc>
        <w:tc>
          <w:tcPr>
            <w:shd w:val="clear" w:color="auto" w:fill="A6A0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Radna mjesta</w:t>
            </w:r>
          </w:p>
        </w:tc>
        <w:tc>
          <w:tcPr>
            <w:shd w:val="clear" w:color="auto" w:fill="A6A0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Osnovni rizici</w:t>
            </w:r>
          </w:p>
        </w:tc>
        <w:tc>
          <w:tcPr>
            <w:shd w:val="clear" w:color="auto" w:fill="98BDF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Postojeće mjere kontrole</w:t>
            </w:r>
          </w:p>
        </w:tc>
        <w:tc>
          <w:tcPr>
            <w:shd w:val="clear" w:color="auto" w:fill="98BDF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Preostali rizici(rezidualni)</w:t>
            </w:r>
          </w:p>
        </w:tc>
        <w:tc>
          <w:tcPr>
            <w:shd w:val="clear" w:color="auto" w:fill="98BDF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Vjer.</w:t>
            </w:r>
          </w:p>
        </w:tc>
        <w:tc>
          <w:tcPr>
            <w:shd w:val="clear" w:color="auto" w:fill="98BDF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Posljedice</w:t>
            </w:r>
          </w:p>
        </w:tc>
        <w:tc>
          <w:tcPr>
            <w:shd w:val="clear" w:color="auto" w:fill="98BDF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Procjena</w:t>
            </w:r>
          </w:p>
        </w:tc>
        <w:tc>
          <w:tcPr>
            <w:shd w:val="clear" w:color="auto" w:fill="FFFF9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Predložene mjere za smanjenje/otklanjanje rizika</w:t>
            </w:r>
          </w:p>
        </w:tc>
        <w:tc>
          <w:tcPr>
            <w:shd w:val="clear" w:color="auto" w:fill="FFFF9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Ogovorna osoba</w:t>
            </w:r>
          </w:p>
        </w:tc>
        <w:tc>
          <w:tcPr>
            <w:shd w:val="clear" w:color="auto" w:fill="FFFF9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Rok</w:t>
            </w:r>
          </w:p>
        </w:tc>
        <w:tc>
          <w:tcPr>
            <w:shd w:val="clear" w:color="auto" w:fill="F287E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St.</w:t>
            </w:r>
          </w:p>
        </w:tc>
        <w:tc>
          <w:tcPr>
            <w:shd w:val="clear" w:color="auto" w:fill="F287EB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80" w:right="8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Kratak opis i ocjena realizacije mjere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774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77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1.1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Rukovođenje i upravljanje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Narušavanje integriteta institucije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Nedozvoljeno lobiranje ili drugi nejavni uticaj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Sukob interesa</w:t>
                        </w: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Povrede profesionalnih, etičkih pravila i pristrasno ponašanje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Obaveza sastavljanja izvještaja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Zaključci Vlade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Interna akta institucije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7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Nedovoljno transparentan rad institucije;</w:t>
                          <w:br/>
                          <w:br/>
                          <w:t xml:space="preserve">Veliki i/ili nekontrolisan prostor donošenja diskrecionih odluka;</w:t>
                          <w:br/>
                          <w:br/>
                          <w:t xml:space="preserve">Odstupanja u sprovođenju strategije razvoja institucije, drugih mjera, utvrđenih programa i planova;</w:t>
                          <w:br/>
                          <w:br/>
                          <w:t xml:space="preserve">Teško razumljivi  i nedorečeni propisi;</w:t>
                          <w:br/>
                          <w:br/>
                          <w:t xml:space="preserve">Nedovoljno transparentan rad;</w:t>
                          <w:br/>
                          <w:br/>
                          <w:t xml:space="preserve">Kršenje pravila prilikom donošenja odluka;</w:t>
                          <w:br/>
                          <w:br/>
                          <w:t xml:space="preserve">Neblagovremeno I nepotpuno dostavljanje  izvještaja o imovini I prihodima javnih funkcionera;</w:t>
                          <w:br/>
                          <w:br/>
                          <w:t xml:space="preserve">Teško razumljivi i nedorečeni propisi;</w:t>
                          <w:br/>
                          <w:br/>
                          <w:br/>
                          <w:t xml:space="preserve">Zaposleni nijesu upoznati sa propisima;</w:t>
                          <w:br/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Identifikacija svih faktora ili spoljnih uticaja koji bi mogli uticati na ostvarivanje aktivnosti iz nadležnosti institucije.</w:t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↓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8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Usvajanje procedura o diskrecionom odlučivanju.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Uvesti periodičnu obavezu da prevencija korupcije bude tema kolegijuma.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kontinuirano.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1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Donijeti interno upustvo za prijavu i evidenciju slučajeva korupcije unutar institucije, kao i zaštitu identiteta lica koje je podnijelo prijavu.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7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1110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110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1.1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Rukovođenje i upravljanje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Narušavanje integriteta institucije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Nedozvoljeno lobiranje ili drugi nejavni uticaj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Sukob interesa</w:t>
                        </w: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Povrede profesionalnih, etičkih pravila i pristrasno ponašanje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Obaveza sastavljanja izvještaja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Zaključci Vlade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Interna akta institucije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111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Nedovoljno transparentan rad institucije;</w:t>
                          <w:br/>
                          <w:br/>
                          <w:t xml:space="preserve">Veliki i/ili nekontrolisan prostor donošenja diskrecionih odluka;</w:t>
                          <w:br/>
                          <w:br/>
                          <w:t xml:space="preserve">Odstupanja u sprovođenju strategije razvoja institucije, drugih mjera, utvrđenih programa i planova;</w:t>
                          <w:br/>
                          <w:br/>
                          <w:t xml:space="preserve">Teško razumljivi  i nedorečeni propisi;</w:t>
                          <w:br/>
                          <w:br/>
                          <w:t xml:space="preserve">Nedovoljno transparentan rad;</w:t>
                          <w:br/>
                          <w:br/>
                          <w:t xml:space="preserve">Kršenje pravila prilikom donošenja odluka;</w:t>
                          <w:br/>
                          <w:br/>
                          <w:t xml:space="preserve">Neblagovremeno I nepotpuno dostavljanje  izvještaja o imovini I prihodima javnih funkcionera;</w:t>
                          <w:br/>
                          <w:br/>
                          <w:t xml:space="preserve">Teško razumljivi i nedorečeni propisi;</w:t>
                          <w:br/>
                          <w:br/>
                          <w:br/>
                          <w:t xml:space="preserve">Zaposleni nijesu upoznati sa propisima;</w:t>
                          <w:br/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Vođenje evidencije primljenih poklona.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↓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Javno objavljivati podatke o varijabilama i nagradama zaposlenih ili na oglasnoj zabli institucije/organa.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Donijeti interno upustvo za kontrolu i evidenciju postojanja sukoba interesa.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1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Donijeti interno upustvo za prijavu i evidenciju poklona.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Odrediti službenika za prijem i obradu (provjeru) navoda u prijavi.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1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Redovno dostavljati izvještaje i o imovini i prihodima javnih funkcionera Agenciji za sprječavanje korupcije.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Usvajanje novih znanja iz oblasti službeničkog integriteta.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688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68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1.1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Rukovođenje i upravljanje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Narušavanje integriteta institucije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Nedozvoljeno lobiranje ili drugi nejavni uticaj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Sukob interesa</w:t>
                        </w: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Povrede profesionalnih, etičkih pravila i pristrasno ponašanje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Obaveza sastavljanja izvještaja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Zaključci Vlade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Interna akta institucije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68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Nedovoljno transparentan rad institucije;</w:t>
                          <w:br/>
                          <w:br/>
                          <w:t xml:space="preserve">Veliki i/ili nekontrolisan prostor donošenja diskrecionih odluka;</w:t>
                          <w:br/>
                          <w:br/>
                          <w:t xml:space="preserve">Odstupanja u sprovođenju strategije razvoja institucije, drugih mjera, utvrđenih programa i planova;</w:t>
                          <w:br/>
                          <w:br/>
                          <w:t xml:space="preserve">Teško razumljivi  i nedorečeni propisi;</w:t>
                          <w:br/>
                          <w:br/>
                          <w:t xml:space="preserve">Nedovoljno transparentan rad;</w:t>
                          <w:br/>
                          <w:br/>
                          <w:t xml:space="preserve">Kršenje pravila prilikom donošenja odluka;</w:t>
                          <w:br/>
                          <w:br/>
                          <w:t xml:space="preserve">Neblagovremeno I nepotpuno dostavljanje  izvještaja o imovini I prihodima javnih funkcionera;</w:t>
                          <w:br/>
                          <w:br/>
                          <w:t xml:space="preserve">Teško razumljivi i nedorečeni propisi;</w:t>
                          <w:br/>
                          <w:br/>
                          <w:br/>
                          <w:t xml:space="preserve">Zaposleni nijesu upoznati sa propisima;</w:t>
                          <w:br/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↓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58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420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41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2.1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Kadrovska politika, etično i profesionalno ponašanje zaposlenih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Sukob interesa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Narušavanje integriteta institucije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Donošenje nezakonitih odluka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Neprijavljivanje korupcije i drugih nezakonitih radnji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Bezbjednost zaposlenih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Obaveza sastavljanja izvještaja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Interna akta institucije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40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Velika koncentracija zadataka na samo jednoj osobi;</w:t>
                          <w:br/>
                          <w:br/>
                          <w:t xml:space="preserve">Nedostajući kadar nije popunjen.</w:t>
                          <w:br/>
                          <w:br/>
                          <w:t xml:space="preserve">Teško razumljivi  i nedorečeni propisi;</w:t>
                          <w:br/>
                          <w:br/>
                          <w:br/>
                          <w:t xml:space="preserve">Zaposleni nijesu upoznati sa propisima;</w:t>
                          <w:br/>
                          <w:br/>
                          <w:t xml:space="preserve">Dugo vrijeme pri obradi predmeta;</w:t>
                          <w:br/>
                          <w:br/>
                          <w:t xml:space="preserve">Nedovoljno transparentan rad.</w:t>
                          <w:br/>
                          <w:br/>
                          <w:t xml:space="preserve">Kršenje pravila prilikom izrade mišljenja</w:t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72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Vođenje evidencije primljenih poklona.</w:t>
                          <w:br/>
                          <w:br/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↓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Javno objavljivati  podatke o varijabilama i nagradama zaposlenih ili na oglasnoj tabli institucije/organa </w:t>
                          <w:br/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5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1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1110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110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2.1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Kadrovska politika, etično i profesionalno ponašanje zaposlenih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Sukob interesa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Narušavanje integriteta institucije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Donošenje nezakonitih odluka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Neprijavljivanje korupcije i drugih nezakonitih radnji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Bezbjednost zaposlenih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Obaveza sastavljanja izvještaja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Interna akta institucije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111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t xml:space="preserve">Loš materijalni položaj/neadekvatne zarade</w:t>
                          <w:br/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 </w:t>
                          <w:br/>
                          <w:br/>
                          <w:t xml:space="preserve">Donijeti interno uputstvo za  kontrolu i  evidenciju postojanja sukoba interesa</w:t>
                          <w:br/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↓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t xml:space="preserve">Donijeti interno uputstvo za  prijavu i evidenciju poklona </w:t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t xml:space="preserve">Javno objavljivati  podatke o varijabilama i nagradama zaposlenih ili na oglasnoj tabli institucije/organa </w:t>
                          <w:br/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Rotiranje zaposlenih.</w:t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52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Jačanje kadrovskih kapaciteta u skladu sa aktom o sistematizaciji Tužilaštva.</w:t>
                          <w:br/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2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520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51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2.1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Kadrovska politika, etično i profesionalno ponašanje zaposlenih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Sukob interesa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Narušavanje integriteta institucije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Donošenje nezakonitih odluka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Neprijavljivanje korupcije i drugih nezakonitih radnji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Bezbjednost zaposlenih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5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Obaveza sastavljanja izvještaja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Interna akta institucije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5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Velika koncentracija zadataka na samo jednoj osobi;</w:t>
                          <w:br/>
                          <w:br/>
                          <w:t xml:space="preserve">Nedostajući kadar nije popunjen.</w:t>
                          <w:br/>
                          <w:br/>
                          <w:t xml:space="preserve">Teško razumljivi  i nedorečeni propisi;</w:t>
                          <w:br/>
                          <w:br/>
                          <w:br/>
                          <w:t xml:space="preserve">Zaposleni nijesu upoznati sa propisima;</w:t>
                          <w:br/>
                          <w:br/>
                          <w:t xml:space="preserve">Dugo vrijeme pri obradi predmeta;</w:t>
                          <w:br/>
                          <w:br/>
                          <w:t xml:space="preserve">Nedovoljno transparentan rad.</w:t>
                          <w:br/>
                          <w:br/>
                          <w:t xml:space="preserve">Kršenje pravila prilikom izrade mišljenja</w:t>
                          <w:br/>
                          <w:br/>
                          <w:t xml:space="preserve">Loš materijalni položaj/neadekvatne zarade</w:t>
                          <w:br/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↓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41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588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58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3.1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Planiranje i upravljanje finansijama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savjetnik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Nedostatak kadra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Nedovoljna stručnost kadrova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58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Napisan zakon koji pokriva tu oblast;</w:t>
                          <w:br/>
                          <w:br/>
                          <w:t xml:space="preserve">Nedovoljno transparentan rad institucije;</w:t>
                          <w:br/>
                          <w:br/>
                          <w:t xml:space="preserve">Zaposleni nisu obučeni za poslove računovodstva i finansija</w:t>
                          <w:br/>
                          <w:br/>
                          <w:t xml:space="preserve">Zaposleni nisu upoznati sa propisima;</w:t>
                          <w:br/>
                          <w:br/>
                          <w:t xml:space="preserve">Teško razumljivi  i nedorečeni propisi</w:t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00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crven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42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Periodična edukacija zaposlenih.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↑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savjetnik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Redovno sprovođenje unutrašnjih finansijskih kontrola.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samostalni savjetnik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Izmjena unutrašnjeg akta o sistematizaciji radnih mjesta, radi popunjavanja nedostajućeg kadra za vršenje poslova finansija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odmah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334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33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3.1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Planiranje i upravljanje finansijama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savjetnik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Nedostatak kadra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Nedovoljna stručnost kadrova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3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Napisan zakon koji pokriva tu oblast;</w:t>
                          <w:br/>
                          <w:br/>
                          <w:t xml:space="preserve">Nedovoljno transparentan rad institucije;</w:t>
                          <w:br/>
                          <w:br/>
                          <w:t xml:space="preserve">Zaposleni nisu obučeni za poslove računovodstva i finansija</w:t>
                          <w:br/>
                          <w:br/>
                          <w:t xml:space="preserve">Zaposleni nisu upoznati sa propisima;</w:t>
                          <w:br/>
                          <w:br/>
                          <w:t xml:space="preserve">Teško razumljivi  i nedorečeni propisi</w:t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00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crven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42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800"/>
                    <w:gridCol w:w="400"/>
                    <w:gridCol w:w="1200"/>
                  </w:tblGrid>
                  <w:tr>
                    <w:trPr>
                      <w:trHeight w:hRule="exact" w:val="33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↑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774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77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4.1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Čuvanje i bezbjednost podataka i dokumenata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Neadekvatni mehanizmi formalne i faktičke zaštite podataka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7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Neodgovarajući prostorni kapaciteti</w:t>
                          <w:br/>
                          <w:br/>
                          <w:t xml:space="preserve">Zaposleni nijesu upoznati sa propisima</w:t>
                          <w:br/>
                          <w:br/>
                          <w:t xml:space="preserve">Teško razumljivi i nedorečeni propisi.</w:t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zelen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zelen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12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Periodična edukacija zaposlenih.   </w:t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↔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Redovno sprovođenje unutrašnjih finasijskih kontrola.</w:t>
                          <w:br/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samostalni savjetnik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74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  <w:br/>
                          <w:br/>
                          <w:br/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državni tužioci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8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Rotiranje zaposlenih</w:t>
                          <w:br/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kontinuirano</w:t>
                        </w: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br/>
                          <w:br/>
                        </w:r>
                      </w:p>
                    </w:tc>
                  </w:tr>
                  <w:tr>
                    <w:trPr>
                      <w:trHeight w:hRule="exact" w:val="42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rukovodilac Osnovnog državnog tužilaštva</w:t>
                        </w: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4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00"/>
        <w:gridCol w:w="4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>
              <w:trPr>
                <w:trHeight w:hRule="exact" w:val="1980"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"/>
                    <w:gridCol w:w="1200"/>
                  </w:tblGrid>
                  <w:tr>
                    <w:trPr>
                      <w:trHeight w:hRule="exact" w:val="19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</w:rPr>
                          <w:t xml:space="preserve">4.1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Čuvanje i bezbjednost podataka i dokumenata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svi zaposleni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Neadekvatni mehanizmi formalne i faktičke zaštite podataka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Ugrožavanje zaštite podataka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600"/>
                    <w:gridCol w:w="160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Princip četiri oka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Podjela radnih zadataka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Zakoni i podzakonska akta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Edukacija</w:t>
                        </w:r>
                      </w:p>
                    </w:tc>
                  </w:tr>
                  <w:tr>
                    <w:trPr>
                      <w:trHeight w:hRule="exact" w:val="3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Pojačan stručni nadzor</w:t>
                        </w: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Etički kodeks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000"/>
                    <w:gridCol w:w="2000"/>
                  </w:tblGrid>
                  <w:tr>
                    <w:trPr>
                      <w:trHeight w:hRule="exact" w:val="19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 w:right="40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Neodgovarajući prostorni kapaciteti</w:t>
                          <w:br/>
                          <w:br/>
                          <w:t xml:space="preserve">Zaposleni nijesu upoznati sa propisima</w:t>
                          <w:br/>
                          <w:br/>
                          <w:t xml:space="preserve">Teško razumljivi i nedorečeni propisi.</w:t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20"/>
                    </w:trPr>
                    <w:tc>
                      <w:tcPr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>
                          <w:trPr>
                            <w:trHeight w:hRule="exact" w:val="620"/>
                          </w:trPr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zelen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FF9900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narandzast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  <w:tc>
                            <w:tcPr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Layout w:type="fixed"/>
                              </w:tblPr>
                              <w:tblGrid>
                                <w:gridCol w:w="400"/>
                                <w:gridCol w:w="400"/>
                              </w:tblGrid>
                              <w:tr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pStyle w:val="zelena"/>
                                      <w:ind/>
                                      <w:jc w:val="center"/>
                                    </w:pPr>
                                    <w:r>
                                      <w:rPr>
       </w:rPr>
                                      <w:t xml:space="preserve">12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EMPTY_CELL_STYLE"/>
                              </w:pP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>
                    <w:trPr>
                      <w:trHeight w:hRule="exact" w:val="30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ind w:left="40"/>
                        </w:pPr>
                      </w:p>
                    </w:tc>
                    <w:tc>
                      <w:tcPr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Layout w:type="fixed"/>
                        </w:tblPr>
                        <w:tblGrid>
                          <w:gridCol w:w="400"/>
                          <w:gridCol w:w="400"/>
                        </w:tblGrid>
                        <w:tr>
                          <w:trPr>
                            <w:trHeight w:hRule="exact" w:val="600"/>
                          </w:trPr>
                          <w:tc>
                            <w:tcPr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top"/>
                            </w:tcPr>
                            <w:p>
                              <w:pPr>
                                <w:ind/>
                                <w:jc w:val="center"/>
                              </w:pPr>
                              <w:r>
                                <w:rPr>
                                  <w:rFonts w:ascii="DejaVu Sans" w:hAnsi="DejaVu Sans" w:eastAsia="DejaVu Sans" w:cs="DejaVu Sans"/>
                                  <w:color w:val="000000"/>
                                  <w:sz w:val="20"/>
                                </w:rPr>
                                <w:t xml:space="preserve">↔</w:t>
                              </w:r>
                            </w:p>
                          </w:tc>
                        </w:tr>
                      </w:tbl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168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able_TH">
    <w:name w:val="Table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CH">
    <w:name w:val="Table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TD">
    <w:name w:val="Table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arandzasta">
    <w:name w:val="narandzasta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lena">
    <w:name w:val="zelena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crvena">
    <w:name w:val="crvena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tyle1">
    <w:name w:val="Style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