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A62CD" w14:textId="138E5829" w:rsidR="0068066C" w:rsidRPr="004A540D" w:rsidRDefault="0068066C" w:rsidP="0068066C">
      <w:pPr>
        <w:rPr>
          <w:rFonts w:ascii="Arial" w:hAnsi="Arial" w:cs="Arial"/>
          <w:i/>
          <w:noProof/>
          <w:lang w:val="sr-Latn-CS"/>
        </w:rPr>
      </w:pPr>
      <w:bookmarkStart w:id="0" w:name="_GoBack"/>
      <w:bookmarkEnd w:id="0"/>
      <w:r w:rsidRPr="004A540D">
        <w:rPr>
          <w:rFonts w:ascii="Arial" w:hAnsi="Arial" w:cs="Arial"/>
          <w:i/>
          <w:noProof/>
        </w:rPr>
        <w:drawing>
          <wp:inline distT="0" distB="0" distL="0" distR="0" wp14:anchorId="1A7F1A8D" wp14:editId="0BC4AF86">
            <wp:extent cx="695325" cy="790575"/>
            <wp:effectExtent l="0" t="0" r="9525" b="952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D0235" w14:textId="77777777" w:rsidR="0068066C" w:rsidRPr="004A540D" w:rsidRDefault="0068066C" w:rsidP="0068066C">
      <w:pPr>
        <w:pStyle w:val="Style1"/>
        <w:kinsoku w:val="0"/>
        <w:overflowPunct w:val="0"/>
        <w:autoSpaceDE/>
        <w:autoSpaceDN/>
        <w:adjustRightInd/>
        <w:spacing w:before="8" w:line="276" w:lineRule="exact"/>
        <w:textAlignment w:val="baseline"/>
        <w:rPr>
          <w:rStyle w:val="CharacterStyle1"/>
          <w:rFonts w:ascii="Arial" w:hAnsi="Arial" w:cs="Arial"/>
          <w:i/>
          <w:spacing w:val="-1"/>
          <w:sz w:val="24"/>
          <w:szCs w:val="24"/>
          <w:lang w:val="sr-Latn-CS" w:eastAsia="sr-Latn-CS"/>
        </w:rPr>
      </w:pPr>
      <w:r w:rsidRPr="004A540D">
        <w:rPr>
          <w:rStyle w:val="CharacterStyle1"/>
          <w:rFonts w:ascii="Arial" w:hAnsi="Arial" w:cs="Arial"/>
          <w:i/>
          <w:spacing w:val="-1"/>
          <w:sz w:val="24"/>
          <w:szCs w:val="24"/>
          <w:lang w:val="sr-Latn-CS" w:eastAsia="sr-Latn-CS"/>
        </w:rPr>
        <w:t>CRNA GORA</w:t>
      </w:r>
    </w:p>
    <w:p w14:paraId="15EA536B" w14:textId="77777777" w:rsidR="0068066C" w:rsidRPr="004A540D" w:rsidRDefault="0068066C" w:rsidP="0068066C">
      <w:pPr>
        <w:pStyle w:val="Style1"/>
        <w:kinsoku w:val="0"/>
        <w:overflowPunct w:val="0"/>
        <w:autoSpaceDE/>
        <w:autoSpaceDN/>
        <w:adjustRightInd/>
        <w:spacing w:before="2" w:line="276" w:lineRule="exact"/>
        <w:textAlignment w:val="baseline"/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</w:pPr>
      <w:r w:rsidRPr="004A540D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TUŽILAČKI SAVJET</w:t>
      </w:r>
    </w:p>
    <w:p w14:paraId="598EF122" w14:textId="160CBDFE" w:rsidR="0068066C" w:rsidRPr="004A540D" w:rsidRDefault="00F058AF" w:rsidP="0068066C">
      <w:pPr>
        <w:pStyle w:val="Style1"/>
        <w:kinsoku w:val="0"/>
        <w:overflowPunct w:val="0"/>
        <w:autoSpaceDE/>
        <w:autoSpaceDN/>
        <w:adjustRightInd/>
        <w:spacing w:before="3" w:line="276" w:lineRule="exact"/>
        <w:textAlignment w:val="baseline"/>
        <w:rPr>
          <w:rStyle w:val="CharacterStyle1"/>
          <w:rFonts w:ascii="Arial" w:hAnsi="Arial" w:cs="Arial"/>
          <w:i/>
          <w:spacing w:val="-1"/>
          <w:sz w:val="24"/>
          <w:szCs w:val="24"/>
          <w:lang w:val="sr-Latn-CS" w:eastAsia="sr-Latn-CS"/>
        </w:rPr>
      </w:pPr>
      <w:hyperlink r:id="rId6" w:history="1">
        <w:r w:rsidR="0068066C" w:rsidRPr="004A540D">
          <w:rPr>
            <w:rStyle w:val="CharacterStyle1"/>
            <w:rFonts w:ascii="Arial" w:hAnsi="Arial" w:cs="Arial"/>
            <w:i/>
            <w:spacing w:val="-1"/>
            <w:sz w:val="24"/>
            <w:szCs w:val="24"/>
            <w:lang w:val="sr-Latn-CS" w:eastAsia="sr-Latn-CS"/>
          </w:rPr>
          <w:t>TSO br</w:t>
        </w:r>
      </w:hyperlink>
      <w:proofErr w:type="spellStart"/>
      <w:r w:rsidR="0068066C" w:rsidRPr="004A540D">
        <w:rPr>
          <w:rFonts w:ascii="Arial" w:hAnsi="Arial" w:cs="Arial"/>
          <w:i/>
          <w:sz w:val="24"/>
          <w:szCs w:val="24"/>
        </w:rPr>
        <w:t>oj</w:t>
      </w:r>
      <w:proofErr w:type="spellEnd"/>
      <w:r w:rsidR="0068066C" w:rsidRPr="004A540D">
        <w:rPr>
          <w:rStyle w:val="CharacterStyle1"/>
          <w:rFonts w:ascii="Arial" w:hAnsi="Arial" w:cs="Arial"/>
          <w:i/>
          <w:spacing w:val="-1"/>
          <w:sz w:val="24"/>
          <w:szCs w:val="24"/>
          <w:lang w:val="sr-Latn-CS" w:eastAsia="sr-Latn-CS"/>
        </w:rPr>
        <w:t xml:space="preserve"> </w:t>
      </w:r>
      <w:r w:rsidR="00F60631">
        <w:rPr>
          <w:rStyle w:val="CharacterStyle1"/>
          <w:rFonts w:ascii="Arial" w:hAnsi="Arial" w:cs="Arial"/>
          <w:i/>
          <w:spacing w:val="-1"/>
          <w:sz w:val="24"/>
          <w:szCs w:val="24"/>
          <w:lang w:val="sr-Latn-CS" w:eastAsia="sr-Latn-CS"/>
        </w:rPr>
        <w:t>4</w:t>
      </w:r>
      <w:r w:rsidR="0068066C" w:rsidRPr="004A540D">
        <w:rPr>
          <w:rStyle w:val="CharacterStyle1"/>
          <w:rFonts w:ascii="Arial" w:hAnsi="Arial" w:cs="Arial"/>
          <w:i/>
          <w:spacing w:val="-1"/>
          <w:sz w:val="24"/>
          <w:szCs w:val="24"/>
          <w:lang w:val="sr-Latn-CS" w:eastAsia="sr-Latn-CS"/>
        </w:rPr>
        <w:t>/202</w:t>
      </w:r>
      <w:r w:rsidR="00514D36" w:rsidRPr="004A540D">
        <w:rPr>
          <w:rStyle w:val="CharacterStyle1"/>
          <w:rFonts w:ascii="Arial" w:hAnsi="Arial" w:cs="Arial"/>
          <w:i/>
          <w:spacing w:val="-1"/>
          <w:sz w:val="24"/>
          <w:szCs w:val="24"/>
          <w:lang w:val="sr-Latn-CS" w:eastAsia="sr-Latn-CS"/>
        </w:rPr>
        <w:t>6</w:t>
      </w:r>
    </w:p>
    <w:p w14:paraId="5BC58735" w14:textId="4DA031C6" w:rsidR="0068066C" w:rsidRPr="004A540D" w:rsidRDefault="0068066C" w:rsidP="0068066C">
      <w:pPr>
        <w:pStyle w:val="Style1"/>
        <w:kinsoku w:val="0"/>
        <w:overflowPunct w:val="0"/>
        <w:autoSpaceDE/>
        <w:autoSpaceDN/>
        <w:adjustRightInd/>
        <w:spacing w:before="2" w:line="276" w:lineRule="exact"/>
        <w:textAlignment w:val="baseline"/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</w:pPr>
      <w:r w:rsidRPr="004A540D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 xml:space="preserve">Podgorica, </w:t>
      </w:r>
      <w:r w:rsidR="00F60631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30</w:t>
      </w:r>
      <w:r w:rsidR="00514D36" w:rsidRPr="004A540D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 xml:space="preserve">. </w:t>
      </w:r>
      <w:r w:rsidR="00F60631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april</w:t>
      </w:r>
      <w:r w:rsidR="00514D36" w:rsidRPr="004A540D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 xml:space="preserve"> </w:t>
      </w:r>
      <w:r w:rsidRPr="004A540D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 xml:space="preserve"> 202</w:t>
      </w:r>
      <w:r w:rsidR="00514D36" w:rsidRPr="004A540D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6</w:t>
      </w:r>
      <w:r w:rsidRPr="004A540D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. godine</w:t>
      </w:r>
    </w:p>
    <w:p w14:paraId="27897277" w14:textId="77777777" w:rsidR="00E8626A" w:rsidRPr="00CF44BC" w:rsidRDefault="0068066C" w:rsidP="00E8626A">
      <w:pPr>
        <w:pStyle w:val="Style1"/>
        <w:kinsoku w:val="0"/>
        <w:overflowPunct w:val="0"/>
        <w:autoSpaceDE/>
        <w:autoSpaceDN/>
        <w:adjustRightInd/>
        <w:spacing w:before="563" w:line="281" w:lineRule="exact"/>
        <w:ind w:firstLine="720"/>
        <w:jc w:val="both"/>
        <w:textAlignment w:val="baseline"/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</w:pPr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Na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osnovu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člana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14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i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15 </w:t>
      </w:r>
      <w:proofErr w:type="spellStart"/>
      <w:r w:rsidRPr="00CF44BC">
        <w:rPr>
          <w:rFonts w:ascii="Arial" w:hAnsi="Arial" w:cs="Arial"/>
          <w:i/>
          <w:sz w:val="24"/>
          <w:szCs w:val="24"/>
        </w:rPr>
        <w:t>Zakona</w:t>
      </w:r>
      <w:proofErr w:type="spellEnd"/>
      <w:r w:rsidRPr="00CF44BC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CF44BC">
        <w:rPr>
          <w:rFonts w:ascii="Arial" w:hAnsi="Arial" w:cs="Arial"/>
          <w:i/>
          <w:sz w:val="24"/>
          <w:szCs w:val="24"/>
        </w:rPr>
        <w:t>Specijalnom</w:t>
      </w:r>
      <w:proofErr w:type="spellEnd"/>
      <w:r w:rsidRPr="00CF44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44BC">
        <w:rPr>
          <w:rFonts w:ascii="Arial" w:hAnsi="Arial" w:cs="Arial"/>
          <w:i/>
          <w:sz w:val="24"/>
          <w:szCs w:val="24"/>
        </w:rPr>
        <w:t>državnom</w:t>
      </w:r>
      <w:proofErr w:type="spellEnd"/>
      <w:r w:rsidRPr="00CF44B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44BC">
        <w:rPr>
          <w:rFonts w:ascii="Arial" w:hAnsi="Arial" w:cs="Arial"/>
          <w:i/>
          <w:sz w:val="24"/>
          <w:szCs w:val="24"/>
        </w:rPr>
        <w:t>tužilaštvu</w:t>
      </w:r>
      <w:proofErr w:type="spellEnd"/>
      <w:r w:rsidRPr="00CF44BC">
        <w:rPr>
          <w:rFonts w:ascii="Arial" w:hAnsi="Arial" w:cs="Arial"/>
          <w:i/>
          <w:sz w:val="24"/>
          <w:szCs w:val="24"/>
        </w:rPr>
        <w:t xml:space="preserve"> </w:t>
      </w:r>
      <w:r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 xml:space="preserve">(„Službeni list </w:t>
      </w:r>
      <w:proofErr w:type="gramStart"/>
      <w:r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CG“</w:t>
      </w:r>
      <w:proofErr w:type="gramEnd"/>
      <w:r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, br. 10/15</w:t>
      </w:r>
      <w:r w:rsidR="00840514"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 xml:space="preserve">, </w:t>
      </w:r>
      <w:r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53/16</w:t>
      </w:r>
      <w:r w:rsidR="00840514"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 xml:space="preserve"> i 54/24</w:t>
      </w:r>
      <w:r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)</w:t>
      </w:r>
      <w:r w:rsidRPr="00CF44BC">
        <w:rPr>
          <w:rFonts w:ascii="Arial" w:hAnsi="Arial" w:cs="Arial"/>
          <w:i/>
          <w:sz w:val="24"/>
          <w:szCs w:val="24"/>
        </w:rPr>
        <w:t xml:space="preserve">, </w:t>
      </w:r>
      <w:r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i člana</w:t>
      </w:r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68 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Poslovnika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Tužilačkog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savjeta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("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Službeni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Iist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CG",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broj</w:t>
      </w:r>
      <w:proofErr w:type="spellEnd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67/15, 57/18, 78/21</w:t>
      </w:r>
      <w:r w:rsidR="004A540D"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, </w:t>
      </w:r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57/22</w:t>
      </w:r>
      <w:r w:rsidR="004A540D"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, 66/24, 59/25, 103/25 </w:t>
      </w:r>
      <w:proofErr w:type="spellStart"/>
      <w:r w:rsidR="004A540D" w:rsidRPr="00CF44BC">
        <w:rPr>
          <w:rStyle w:val="CharacterStyle1"/>
          <w:rFonts w:ascii="Arial" w:hAnsi="Arial" w:cs="Arial"/>
          <w:i/>
          <w:iCs/>
          <w:sz w:val="24"/>
          <w:szCs w:val="24"/>
        </w:rPr>
        <w:t>i</w:t>
      </w:r>
      <w:proofErr w:type="spellEnd"/>
      <w:r w:rsidR="004A540D"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129/25</w:t>
      </w:r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), </w:t>
      </w:r>
      <w:r w:rsidRPr="00CF44BC"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  <w:t>Tužilački savjet</w:t>
      </w:r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44BC">
        <w:rPr>
          <w:rStyle w:val="CharacterStyle1"/>
          <w:rFonts w:ascii="Arial" w:hAnsi="Arial" w:cs="Arial"/>
          <w:i/>
          <w:iCs/>
          <w:sz w:val="24"/>
          <w:szCs w:val="24"/>
        </w:rPr>
        <w:t>objav</w:t>
      </w:r>
      <w:r w:rsidR="00840514" w:rsidRPr="00CF44BC">
        <w:rPr>
          <w:rStyle w:val="CharacterStyle1"/>
          <w:rFonts w:ascii="Arial" w:hAnsi="Arial" w:cs="Arial"/>
          <w:i/>
          <w:iCs/>
          <w:sz w:val="24"/>
          <w:szCs w:val="24"/>
        </w:rPr>
        <w:t>ljuje</w:t>
      </w:r>
      <w:proofErr w:type="spellEnd"/>
    </w:p>
    <w:p w14:paraId="24C9D9A6" w14:textId="6B6BF456" w:rsidR="0068066C" w:rsidRPr="004A540D" w:rsidRDefault="0068066C" w:rsidP="00E8626A">
      <w:pPr>
        <w:pStyle w:val="Style1"/>
        <w:kinsoku w:val="0"/>
        <w:overflowPunct w:val="0"/>
        <w:autoSpaceDE/>
        <w:autoSpaceDN/>
        <w:adjustRightInd/>
        <w:spacing w:before="563" w:line="281" w:lineRule="exact"/>
        <w:ind w:firstLine="720"/>
        <w:jc w:val="center"/>
        <w:textAlignment w:val="baseline"/>
        <w:rPr>
          <w:rStyle w:val="CharacterStyle1"/>
          <w:rFonts w:ascii="Arial" w:hAnsi="Arial" w:cs="Arial"/>
          <w:i/>
          <w:sz w:val="24"/>
          <w:szCs w:val="24"/>
          <w:lang w:val="sr-Latn-CS" w:eastAsia="sr-Latn-CS"/>
        </w:rPr>
      </w:pPr>
      <w:r w:rsidRPr="004A540D">
        <w:rPr>
          <w:rStyle w:val="CharacterStyle1"/>
          <w:rFonts w:ascii="Arial" w:hAnsi="Arial" w:cs="Arial"/>
          <w:i/>
          <w:iCs/>
          <w:spacing w:val="9"/>
          <w:sz w:val="24"/>
          <w:szCs w:val="24"/>
        </w:rPr>
        <w:t>JAVNI OGLAS</w:t>
      </w:r>
    </w:p>
    <w:p w14:paraId="2374E0BA" w14:textId="6078657B" w:rsidR="004A540D" w:rsidRDefault="0068066C" w:rsidP="004A540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64" w:line="244" w:lineRule="exact"/>
        <w:jc w:val="both"/>
        <w:textAlignment w:val="baseline"/>
        <w:rPr>
          <w:rStyle w:val="CharacterStyle1"/>
          <w:rFonts w:ascii="Arial" w:hAnsi="Arial" w:cs="Arial"/>
          <w:i/>
          <w:iCs/>
          <w:sz w:val="24"/>
          <w:szCs w:val="24"/>
        </w:rPr>
      </w:pPr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za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>izbor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r w:rsidR="00514D36" w:rsidRPr="004A540D">
        <w:rPr>
          <w:rStyle w:val="CharacterStyle1"/>
          <w:rFonts w:ascii="Arial" w:hAnsi="Arial" w:cs="Arial"/>
          <w:i/>
          <w:iCs/>
          <w:sz w:val="24"/>
          <w:szCs w:val="24"/>
        </w:rPr>
        <w:t>8</w:t>
      </w:r>
      <w:r w:rsidR="00840514"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514D36" w:rsidRPr="004A540D">
        <w:rPr>
          <w:rStyle w:val="CharacterStyle1"/>
          <w:rFonts w:ascii="Arial" w:hAnsi="Arial" w:cs="Arial"/>
          <w:i/>
          <w:iCs/>
          <w:sz w:val="24"/>
          <w:szCs w:val="24"/>
        </w:rPr>
        <w:t>osam</w:t>
      </w:r>
      <w:proofErr w:type="spellEnd"/>
      <w:r w:rsidR="00840514" w:rsidRPr="004A540D">
        <w:rPr>
          <w:rStyle w:val="CharacterStyle1"/>
          <w:rFonts w:ascii="Arial" w:hAnsi="Arial" w:cs="Arial"/>
          <w:i/>
          <w:iCs/>
          <w:sz w:val="24"/>
          <w:szCs w:val="24"/>
        </w:rPr>
        <w:t>)</w:t>
      </w:r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>specijaln</w:t>
      </w:r>
      <w:r w:rsidR="00514D36" w:rsidRPr="004A540D">
        <w:rPr>
          <w:rStyle w:val="CharacterStyle1"/>
          <w:rFonts w:ascii="Arial" w:hAnsi="Arial" w:cs="Arial"/>
          <w:i/>
          <w:iCs/>
          <w:sz w:val="24"/>
          <w:szCs w:val="24"/>
        </w:rPr>
        <w:t>ih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>tužioca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u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>Specijalnom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>državnom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>tužilaštvu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>Crne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  <w:szCs w:val="24"/>
        </w:rPr>
        <w:t xml:space="preserve"> Gore.</w:t>
      </w:r>
    </w:p>
    <w:p w14:paraId="05DA0C09" w14:textId="77777777" w:rsidR="004A540D" w:rsidRPr="004A540D" w:rsidRDefault="004A540D" w:rsidP="004A540D">
      <w:pPr>
        <w:pStyle w:val="Style1"/>
        <w:kinsoku w:val="0"/>
        <w:overflowPunct w:val="0"/>
        <w:autoSpaceDE/>
        <w:autoSpaceDN/>
        <w:adjustRightInd/>
        <w:spacing w:before="264" w:line="244" w:lineRule="exact"/>
        <w:ind w:left="720"/>
        <w:jc w:val="both"/>
        <w:textAlignment w:val="baseline"/>
        <w:rPr>
          <w:rStyle w:val="CharacterStyle1"/>
          <w:rFonts w:ascii="Arial" w:hAnsi="Arial" w:cs="Arial"/>
          <w:i/>
          <w:iCs/>
          <w:sz w:val="24"/>
          <w:szCs w:val="24"/>
        </w:rPr>
      </w:pPr>
    </w:p>
    <w:p w14:paraId="03A6A883" w14:textId="6EA6188B" w:rsidR="0068066C" w:rsidRPr="004A540D" w:rsidRDefault="0068066C" w:rsidP="0068066C">
      <w:pPr>
        <w:pStyle w:val="NoSpacing"/>
        <w:ind w:firstLine="720"/>
        <w:jc w:val="both"/>
        <w:rPr>
          <w:rStyle w:val="CharacterStyle1"/>
          <w:rFonts w:ascii="Arial" w:hAnsi="Arial" w:cs="Arial"/>
          <w:i/>
          <w:iCs/>
          <w:sz w:val="24"/>
        </w:rPr>
      </w:pP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Kandidati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treba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da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ispunjavaju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opšte</w:t>
      </w:r>
      <w:proofErr w:type="spellEnd"/>
      <w:r w:rsidR="00840514"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="00840514" w:rsidRPr="004A540D">
        <w:rPr>
          <w:rStyle w:val="CharacterStyle1"/>
          <w:rFonts w:ascii="Arial" w:hAnsi="Arial" w:cs="Arial"/>
          <w:i/>
          <w:iCs/>
          <w:sz w:val="24"/>
        </w:rPr>
        <w:t>uslove</w:t>
      </w:r>
      <w:proofErr w:type="spellEnd"/>
      <w:r w:rsidR="00840514" w:rsidRPr="004A540D">
        <w:rPr>
          <w:rStyle w:val="CharacterStyle1"/>
          <w:rFonts w:ascii="Arial" w:hAnsi="Arial" w:cs="Arial"/>
          <w:i/>
          <w:iCs/>
          <w:sz w:val="24"/>
        </w:rPr>
        <w:t xml:space="preserve"> za rad u </w:t>
      </w:r>
      <w:proofErr w:type="spellStart"/>
      <w:r w:rsidR="00840514" w:rsidRPr="004A540D">
        <w:rPr>
          <w:rStyle w:val="CharacterStyle1"/>
          <w:rFonts w:ascii="Arial" w:hAnsi="Arial" w:cs="Arial"/>
          <w:i/>
          <w:iCs/>
          <w:sz w:val="24"/>
        </w:rPr>
        <w:t>državnom</w:t>
      </w:r>
      <w:proofErr w:type="spellEnd"/>
      <w:r w:rsidR="00840514"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="00840514" w:rsidRPr="004A540D">
        <w:rPr>
          <w:rStyle w:val="CharacterStyle1"/>
          <w:rFonts w:ascii="Arial" w:hAnsi="Arial" w:cs="Arial"/>
          <w:i/>
          <w:iCs/>
          <w:sz w:val="24"/>
        </w:rPr>
        <w:t>organu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proofErr w:type="gramStart"/>
      <w:r w:rsidRPr="004A540D">
        <w:rPr>
          <w:rStyle w:val="CharacterStyle1"/>
          <w:rFonts w:ascii="Arial" w:hAnsi="Arial" w:cs="Arial"/>
          <w:i/>
          <w:iCs/>
          <w:sz w:val="24"/>
        </w:rPr>
        <w:t>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uslove</w:t>
      </w:r>
      <w:proofErr w:type="spellEnd"/>
      <w:proofErr w:type="gramEnd"/>
      <w:r w:rsidR="00840514"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propisane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članom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13</w:t>
      </w:r>
      <w:r w:rsidR="00B009C2"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="00B009C2" w:rsidRPr="004A540D">
        <w:rPr>
          <w:rStyle w:val="CharacterStyle1"/>
          <w:rFonts w:ascii="Arial" w:hAnsi="Arial" w:cs="Arial"/>
          <w:i/>
          <w:iCs/>
          <w:sz w:val="24"/>
        </w:rPr>
        <w:t>stav</w:t>
      </w:r>
      <w:proofErr w:type="spellEnd"/>
      <w:r w:rsidR="00B009C2" w:rsidRPr="004A540D">
        <w:rPr>
          <w:rStyle w:val="CharacterStyle1"/>
          <w:rFonts w:ascii="Arial" w:hAnsi="Arial" w:cs="Arial"/>
          <w:i/>
          <w:iCs/>
          <w:sz w:val="24"/>
        </w:rPr>
        <w:t xml:space="preserve"> 1 </w:t>
      </w:r>
      <w:proofErr w:type="spellStart"/>
      <w:r w:rsidR="00B009C2" w:rsidRPr="004A540D">
        <w:rPr>
          <w:rStyle w:val="CharacterStyle1"/>
          <w:rFonts w:ascii="Arial" w:hAnsi="Arial" w:cs="Arial"/>
          <w:i/>
          <w:iCs/>
          <w:sz w:val="24"/>
        </w:rPr>
        <w:t>tačka</w:t>
      </w:r>
      <w:proofErr w:type="spellEnd"/>
      <w:r w:rsidR="00B009C2" w:rsidRPr="004A540D">
        <w:rPr>
          <w:rStyle w:val="CharacterStyle1"/>
          <w:rFonts w:ascii="Arial" w:hAnsi="Arial" w:cs="Arial"/>
          <w:i/>
          <w:iCs/>
          <w:sz w:val="24"/>
        </w:rPr>
        <w:t xml:space="preserve"> 1, 2 </w:t>
      </w:r>
      <w:proofErr w:type="spellStart"/>
      <w:r w:rsidR="00B009C2" w:rsidRPr="004A540D">
        <w:rPr>
          <w:rStyle w:val="CharacterStyle1"/>
          <w:rFonts w:ascii="Arial" w:hAnsi="Arial" w:cs="Arial"/>
          <w:i/>
          <w:iCs/>
          <w:sz w:val="24"/>
        </w:rPr>
        <w:t>i</w:t>
      </w:r>
      <w:proofErr w:type="spellEnd"/>
      <w:r w:rsidR="00B009C2" w:rsidRPr="004A540D">
        <w:rPr>
          <w:rStyle w:val="CharacterStyle1"/>
          <w:rFonts w:ascii="Arial" w:hAnsi="Arial" w:cs="Arial"/>
          <w:i/>
          <w:iCs/>
          <w:sz w:val="24"/>
        </w:rPr>
        <w:t xml:space="preserve"> 3</w:t>
      </w:r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Fonts w:ascii="Arial" w:hAnsi="Arial" w:cs="Arial"/>
          <w:i/>
        </w:rPr>
        <w:t>Zakona</w:t>
      </w:r>
      <w:proofErr w:type="spellEnd"/>
      <w:r w:rsidRPr="004A540D">
        <w:rPr>
          <w:rFonts w:ascii="Arial" w:hAnsi="Arial" w:cs="Arial"/>
          <w:i/>
        </w:rPr>
        <w:t xml:space="preserve"> o </w:t>
      </w:r>
      <w:proofErr w:type="spellStart"/>
      <w:r w:rsidRPr="004A540D">
        <w:rPr>
          <w:rFonts w:ascii="Arial" w:hAnsi="Arial" w:cs="Arial"/>
          <w:i/>
        </w:rPr>
        <w:t>Specijalnom</w:t>
      </w:r>
      <w:proofErr w:type="spellEnd"/>
      <w:r w:rsidRPr="004A540D">
        <w:rPr>
          <w:rFonts w:ascii="Arial" w:hAnsi="Arial" w:cs="Arial"/>
          <w:i/>
        </w:rPr>
        <w:t xml:space="preserve"> </w:t>
      </w:r>
      <w:proofErr w:type="spellStart"/>
      <w:r w:rsidRPr="004A540D">
        <w:rPr>
          <w:rFonts w:ascii="Arial" w:hAnsi="Arial" w:cs="Arial"/>
          <w:i/>
        </w:rPr>
        <w:t>državnom</w:t>
      </w:r>
      <w:proofErr w:type="spellEnd"/>
      <w:r w:rsidRPr="004A540D">
        <w:rPr>
          <w:rFonts w:ascii="Arial" w:hAnsi="Arial" w:cs="Arial"/>
          <w:i/>
        </w:rPr>
        <w:t xml:space="preserve"> </w:t>
      </w:r>
      <w:proofErr w:type="spellStart"/>
      <w:r w:rsidRPr="004A540D">
        <w:rPr>
          <w:rFonts w:ascii="Arial" w:hAnsi="Arial" w:cs="Arial"/>
          <w:i/>
        </w:rPr>
        <w:t>tužilaštvu</w:t>
      </w:r>
      <w:proofErr w:type="spellEnd"/>
      <w:r w:rsidRPr="004A540D">
        <w:rPr>
          <w:rFonts w:ascii="Arial" w:hAnsi="Arial" w:cs="Arial"/>
          <w:i/>
        </w:rPr>
        <w:t>.</w:t>
      </w:r>
    </w:p>
    <w:p w14:paraId="2B9B544D" w14:textId="77777777" w:rsidR="0068066C" w:rsidRPr="004A540D" w:rsidRDefault="0068066C" w:rsidP="0068066C">
      <w:pPr>
        <w:pStyle w:val="NoSpacing"/>
        <w:ind w:firstLine="720"/>
        <w:jc w:val="both"/>
        <w:rPr>
          <w:rStyle w:val="CharacterStyle1"/>
          <w:rFonts w:ascii="Arial" w:hAnsi="Arial" w:cs="Arial"/>
          <w:i/>
          <w:iCs/>
          <w:sz w:val="24"/>
        </w:rPr>
      </w:pP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Prijava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na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javni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oglas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podnosi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se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na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obrascu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(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obrazac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broj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3)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koji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je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dostupan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svim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kandidatima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u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prostorijama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državnih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tužilaštava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,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Sekretarijatu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Tužilačkog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savjeta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na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internet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stranici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Tužilačkog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savjeta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Cme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Gore www.tuzilastvocg.me.</w:t>
      </w:r>
    </w:p>
    <w:p w14:paraId="00FDD5FC" w14:textId="0B923CFB" w:rsidR="0068066C" w:rsidRPr="004A540D" w:rsidRDefault="0068066C" w:rsidP="0068066C">
      <w:pPr>
        <w:pStyle w:val="NoSpacing"/>
        <w:ind w:firstLine="720"/>
        <w:jc w:val="both"/>
        <w:rPr>
          <w:rStyle w:val="CharacterStyle1"/>
          <w:rFonts w:ascii="Arial" w:hAnsi="Arial" w:cs="Arial"/>
          <w:i/>
          <w:iCs/>
          <w:sz w:val="24"/>
        </w:rPr>
      </w:pP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Popunjena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potpisana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prijava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kandidata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,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potrebnom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dokumentacijom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,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koja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je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propisana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članom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68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Poslovnika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Tužilačkog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savjeta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,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podnosi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se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Tužilačkom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savjetu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, u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roku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od 15 dana od dana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objavljivanja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javnog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oglasa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u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Službenom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listu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i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dnevnom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Pr="004A540D">
        <w:rPr>
          <w:rStyle w:val="CharacterStyle1"/>
          <w:rFonts w:ascii="Arial" w:hAnsi="Arial" w:cs="Arial"/>
          <w:i/>
          <w:iCs/>
          <w:sz w:val="24"/>
        </w:rPr>
        <w:t>listu</w:t>
      </w:r>
      <w:proofErr w:type="spellEnd"/>
      <w:r w:rsidRPr="004A540D">
        <w:rPr>
          <w:rStyle w:val="CharacterStyle1"/>
          <w:rFonts w:ascii="Arial" w:hAnsi="Arial" w:cs="Arial"/>
          <w:i/>
          <w:iCs/>
          <w:sz w:val="24"/>
        </w:rPr>
        <w:t xml:space="preserve"> </w:t>
      </w:r>
      <w:proofErr w:type="spellStart"/>
      <w:r w:rsidR="007157BA">
        <w:rPr>
          <w:rStyle w:val="CharacterStyle1"/>
          <w:rFonts w:ascii="Arial" w:hAnsi="Arial" w:cs="Arial"/>
          <w:i/>
          <w:iCs/>
          <w:sz w:val="24"/>
        </w:rPr>
        <w:t>Vijesti</w:t>
      </w:r>
      <w:proofErr w:type="spellEnd"/>
      <w:r w:rsidR="007157BA">
        <w:rPr>
          <w:rStyle w:val="CharacterStyle1"/>
          <w:rFonts w:ascii="Arial" w:hAnsi="Arial" w:cs="Arial"/>
          <w:i/>
          <w:iCs/>
          <w:sz w:val="24"/>
        </w:rPr>
        <w:t>.</w:t>
      </w:r>
    </w:p>
    <w:p w14:paraId="2506C704" w14:textId="77777777" w:rsidR="0068066C" w:rsidRPr="004A540D" w:rsidRDefault="0068066C" w:rsidP="0068066C">
      <w:pPr>
        <w:pStyle w:val="NoSpacing"/>
        <w:ind w:firstLine="720"/>
        <w:jc w:val="both"/>
        <w:rPr>
          <w:rStyle w:val="CharacterStyle1"/>
          <w:rFonts w:ascii="Arial" w:hAnsi="Arial" w:cs="Arial"/>
          <w:i/>
          <w:sz w:val="24"/>
          <w:lang w:val="sr-Latn-CS" w:eastAsia="sr-Latn-CS"/>
        </w:rPr>
      </w:pPr>
      <w:r w:rsidRPr="004A540D">
        <w:rPr>
          <w:rStyle w:val="CharacterStyle1"/>
          <w:rFonts w:ascii="Arial" w:hAnsi="Arial" w:cs="Arial"/>
          <w:i/>
          <w:sz w:val="24"/>
          <w:lang w:val="sr-Latn-CS" w:eastAsia="sr-Latn-CS"/>
        </w:rPr>
        <w:t>Prijava se podnosi na adresu: Tužilački savjet, Podgorica, ul. Novaka Miloševa broj 46/1.</w:t>
      </w:r>
    </w:p>
    <w:p w14:paraId="100DAD37" w14:textId="77777777" w:rsidR="0068066C" w:rsidRPr="004A540D" w:rsidRDefault="0068066C" w:rsidP="0068066C">
      <w:pPr>
        <w:pStyle w:val="NoSpacing"/>
        <w:ind w:firstLine="720"/>
        <w:jc w:val="both"/>
        <w:rPr>
          <w:rStyle w:val="CharacterStyle1"/>
          <w:rFonts w:ascii="Arial" w:hAnsi="Arial" w:cs="Arial"/>
          <w:i/>
          <w:sz w:val="24"/>
          <w:lang w:val="sr-Latn-CS" w:eastAsia="sr-Latn-CS"/>
        </w:rPr>
      </w:pPr>
      <w:r w:rsidRPr="004A540D">
        <w:rPr>
          <w:rStyle w:val="CharacterStyle1"/>
          <w:rFonts w:ascii="Arial" w:hAnsi="Arial" w:cs="Arial"/>
          <w:i/>
          <w:sz w:val="24"/>
          <w:lang w:val="sr-Latn-CS" w:eastAsia="sr-Latn-CS"/>
        </w:rPr>
        <w:t>Tužilački savjet će odbaciti neblagovremene i nepotpune prijave.</w:t>
      </w:r>
    </w:p>
    <w:p w14:paraId="521441D6" w14:textId="77777777" w:rsidR="0068066C" w:rsidRPr="006655B8" w:rsidRDefault="0068066C" w:rsidP="0068066C">
      <w:pPr>
        <w:rPr>
          <w:rFonts w:ascii="Arial" w:hAnsi="Arial" w:cs="Arial"/>
          <w:i/>
          <w:sz w:val="22"/>
          <w:szCs w:val="22"/>
        </w:rPr>
      </w:pPr>
    </w:p>
    <w:p w14:paraId="6E2E9B29" w14:textId="77777777" w:rsidR="0068066C" w:rsidRPr="006655B8" w:rsidRDefault="0068066C" w:rsidP="0068066C">
      <w:pPr>
        <w:jc w:val="center"/>
        <w:rPr>
          <w:rFonts w:ascii="Arial" w:hAnsi="Arial" w:cs="Arial"/>
          <w:i/>
          <w:sz w:val="22"/>
          <w:szCs w:val="22"/>
          <w:lang w:val="sr-Latn-CS"/>
        </w:rPr>
      </w:pPr>
      <w:r w:rsidRPr="006655B8">
        <w:rPr>
          <w:rFonts w:ascii="Arial" w:hAnsi="Arial" w:cs="Arial"/>
          <w:i/>
          <w:sz w:val="22"/>
          <w:szCs w:val="22"/>
          <w:lang w:val="sr-Latn-C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sr-Latn-CS"/>
        </w:rPr>
        <w:t xml:space="preserve"> </w:t>
      </w:r>
      <w:r w:rsidRPr="006655B8">
        <w:rPr>
          <w:rFonts w:ascii="Arial" w:hAnsi="Arial" w:cs="Arial"/>
          <w:i/>
          <w:sz w:val="22"/>
          <w:szCs w:val="22"/>
          <w:lang w:val="sr-Latn-CS"/>
        </w:rPr>
        <w:t xml:space="preserve"> PREDSJEDNIK </w:t>
      </w:r>
    </w:p>
    <w:p w14:paraId="0D036DBB" w14:textId="77777777" w:rsidR="0068066C" w:rsidRPr="006655B8" w:rsidRDefault="0068066C" w:rsidP="0068066C">
      <w:pPr>
        <w:rPr>
          <w:rFonts w:ascii="Arial" w:hAnsi="Arial" w:cs="Arial"/>
          <w:i/>
          <w:sz w:val="22"/>
          <w:szCs w:val="22"/>
          <w:lang w:val="sr-Latn-CS"/>
        </w:rPr>
      </w:pPr>
      <w:r w:rsidRPr="006655B8">
        <w:rPr>
          <w:rFonts w:ascii="Arial" w:hAnsi="Arial" w:cs="Arial"/>
          <w:i/>
          <w:sz w:val="22"/>
          <w:szCs w:val="22"/>
          <w:lang w:val="sr-Latn-CS"/>
        </w:rPr>
        <w:t xml:space="preserve">                                                                                                          TUŽILAČKOG SAVJETA</w:t>
      </w:r>
    </w:p>
    <w:p w14:paraId="6AC33AA2" w14:textId="3D30905D" w:rsidR="0068066C" w:rsidRPr="004A540D" w:rsidRDefault="0068066C" w:rsidP="0068066C">
      <w:pPr>
        <w:rPr>
          <w:rFonts w:ascii="Arial" w:hAnsi="Arial" w:cs="Arial"/>
          <w:i/>
          <w:sz w:val="22"/>
          <w:szCs w:val="22"/>
          <w:lang w:val="sr-Latn-CS"/>
        </w:rPr>
      </w:pPr>
      <w:r w:rsidRPr="006655B8">
        <w:rPr>
          <w:rFonts w:ascii="Arial" w:hAnsi="Arial" w:cs="Arial"/>
          <w:i/>
          <w:sz w:val="22"/>
          <w:szCs w:val="22"/>
          <w:lang w:val="sr-Latn-CS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sr-Latn-CS"/>
        </w:rPr>
        <w:t>Milorad Marković</w:t>
      </w:r>
      <w:r w:rsidR="002657E6">
        <w:rPr>
          <w:rFonts w:ascii="Arial" w:hAnsi="Arial" w:cs="Arial"/>
          <w:i/>
          <w:sz w:val="22"/>
          <w:szCs w:val="22"/>
          <w:lang w:val="sr-Latn-CS"/>
        </w:rPr>
        <w:t>,s.r.</w:t>
      </w:r>
      <w:r w:rsidR="00514D36">
        <w:rPr>
          <w:rFonts w:ascii="Arial" w:hAnsi="Arial" w:cs="Arial"/>
          <w:i/>
          <w:sz w:val="22"/>
          <w:szCs w:val="22"/>
        </w:rPr>
        <w:tab/>
      </w:r>
    </w:p>
    <w:p w14:paraId="15B79337" w14:textId="77777777" w:rsidR="00E710DA" w:rsidRDefault="00E710DA"/>
    <w:sectPr w:rsidR="00E710DA">
      <w:pgSz w:w="11808" w:h="16819"/>
      <w:pgMar w:top="1440" w:right="1037" w:bottom="1044" w:left="14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0083B"/>
    <w:multiLevelType w:val="hybridMultilevel"/>
    <w:tmpl w:val="DBF60E5A"/>
    <w:lvl w:ilvl="0" w:tplc="684CB9BC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73"/>
    <w:rsid w:val="002657E6"/>
    <w:rsid w:val="004A540D"/>
    <w:rsid w:val="00514D36"/>
    <w:rsid w:val="0068066C"/>
    <w:rsid w:val="007157BA"/>
    <w:rsid w:val="00840514"/>
    <w:rsid w:val="00964F73"/>
    <w:rsid w:val="0097428F"/>
    <w:rsid w:val="00B009C2"/>
    <w:rsid w:val="00CF44BC"/>
    <w:rsid w:val="00E710DA"/>
    <w:rsid w:val="00E8626A"/>
    <w:rsid w:val="00F058AF"/>
    <w:rsid w:val="00F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E460"/>
  <w15:chartTrackingRefBased/>
  <w15:docId w15:val="{B830D40F-5429-4A74-8E7A-99699B7F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66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8066C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68066C"/>
    <w:rPr>
      <w:sz w:val="20"/>
    </w:rPr>
  </w:style>
  <w:style w:type="paragraph" w:styleId="NoSpacing">
    <w:name w:val="No Spacing"/>
    <w:uiPriority w:val="1"/>
    <w:qFormat/>
    <w:rsid w:val="0068066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66C"/>
    <w:pPr>
      <w:widowControl/>
      <w:kinsoku/>
      <w:overflowPunct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SO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Ivan.Pupovic@dtcg.local</dc:creator>
  <cp:keywords/>
  <dc:description/>
  <cp:lastModifiedBy>Marijana Cvorovic</cp:lastModifiedBy>
  <cp:revision>2</cp:revision>
  <cp:lastPrinted>2024-06-28T08:53:00Z</cp:lastPrinted>
  <dcterms:created xsi:type="dcterms:W3CDTF">2026-05-06T06:01:00Z</dcterms:created>
  <dcterms:modified xsi:type="dcterms:W3CDTF">2026-05-06T06:01:00Z</dcterms:modified>
</cp:coreProperties>
</file>